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47850">
      <w:pPr>
        <w:numPr>
          <w:ilvl w:val="0"/>
          <w:numId w:val="0"/>
        </w:numPr>
        <w:spacing w:line="560" w:lineRule="exact"/>
        <w:jc w:val="both"/>
        <w:rPr>
          <w:rFonts w:hint="default" w:ascii="方正小标宋_GBK" w:hAnsi="方正小标宋_GBK" w:eastAsia="方正小标宋_GBK" w:cs="方正小标宋_GBK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附件2：</w:t>
      </w:r>
    </w:p>
    <w:p w14:paraId="14462253">
      <w:pPr>
        <w:numPr>
          <w:ilvl w:val="0"/>
          <w:numId w:val="0"/>
        </w:num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技术需求</w:t>
      </w:r>
    </w:p>
    <w:tbl>
      <w:tblPr>
        <w:tblStyle w:val="7"/>
        <w:tblW w:w="54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015"/>
        <w:gridCol w:w="6254"/>
        <w:gridCol w:w="1314"/>
      </w:tblGrid>
      <w:tr w14:paraId="50AE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482" w:type="dxa"/>
            <w:noWrap/>
            <w:vAlign w:val="center"/>
          </w:tcPr>
          <w:p w14:paraId="27D286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服务等级</w:t>
            </w:r>
          </w:p>
        </w:tc>
        <w:tc>
          <w:tcPr>
            <w:tcW w:w="7261" w:type="dxa"/>
            <w:gridSpan w:val="2"/>
            <w:noWrap/>
            <w:vAlign w:val="center"/>
          </w:tcPr>
          <w:p w14:paraId="6ED027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服 务 内 容</w:t>
            </w:r>
          </w:p>
        </w:tc>
        <w:tc>
          <w:tcPr>
            <w:tcW w:w="1313" w:type="dxa"/>
            <w:noWrap/>
            <w:vAlign w:val="center"/>
          </w:tcPr>
          <w:p w14:paraId="0D11DE0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服务形式</w:t>
            </w:r>
          </w:p>
        </w:tc>
      </w:tr>
      <w:tr w14:paraId="3539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  <w:jc w:val="center"/>
        </w:trPr>
        <w:tc>
          <w:tcPr>
            <w:tcW w:w="482" w:type="dxa"/>
            <w:vMerge w:val="restart"/>
            <w:noWrap/>
            <w:vAlign w:val="center"/>
          </w:tcPr>
          <w:p w14:paraId="0CCDB94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基础服务</w:t>
            </w:r>
          </w:p>
        </w:tc>
        <w:tc>
          <w:tcPr>
            <w:tcW w:w="1014" w:type="dxa"/>
            <w:noWrap/>
            <w:vAlign w:val="center"/>
          </w:tcPr>
          <w:p w14:paraId="059FD7F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环保管理</w:t>
            </w:r>
          </w:p>
        </w:tc>
        <w:tc>
          <w:tcPr>
            <w:tcW w:w="6247" w:type="dxa"/>
            <w:noWrap/>
            <w:vAlign w:val="center"/>
          </w:tcPr>
          <w:p w14:paraId="53D3307F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、及时追踪国家新发布实施的法规、政策及标准，对其进行解读，对应改进环保防治措施，实现持续健康发展；</w:t>
            </w:r>
          </w:p>
          <w:p w14:paraId="3A973E8D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2、公司环保制度培训；</w:t>
            </w:r>
          </w:p>
          <w:p w14:paraId="59B1C8E8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3、员工环保知识培训：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根据环保管理部门要求及企业实际情况开展专项环保知识培训；</w:t>
            </w:r>
          </w:p>
          <w:p w14:paraId="57CA5C1E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4、协助企业完成环保管理体系构建与咨询；</w:t>
            </w:r>
          </w:p>
          <w:p w14:paraId="596C2A18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5、协助企业完成环保信息、档案规范化管理，并辅助正常运行；</w:t>
            </w:r>
          </w:p>
          <w:p w14:paraId="6C21F0E0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6、自行监测平台申报审核；</w:t>
            </w:r>
          </w:p>
          <w:p w14:paraId="3E0F6ABD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7、固废（危废）平台申报审核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；</w:t>
            </w:r>
          </w:p>
          <w:p w14:paraId="74181CF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8、对企业建设、日常运行涉及的环保问题提供技术咨询，主要包括环保“三同时”手续、环保设施建设、排污许可管理、环境风险管理、固体废物管理等。</w:t>
            </w:r>
          </w:p>
        </w:tc>
        <w:tc>
          <w:tcPr>
            <w:tcW w:w="1313" w:type="dxa"/>
            <w:noWrap/>
            <w:vAlign w:val="center"/>
          </w:tcPr>
          <w:p w14:paraId="2665E1A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1、根据政策更新情况环保培训一年不少于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次；</w:t>
            </w:r>
          </w:p>
          <w:p w14:paraId="2DAD44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2、协助制定表单；</w:t>
            </w:r>
          </w:p>
          <w:p w14:paraId="468303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3、审核监测数据。</w:t>
            </w:r>
          </w:p>
        </w:tc>
      </w:tr>
      <w:tr w14:paraId="3197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2" w:type="dxa"/>
            <w:vMerge w:val="continue"/>
            <w:noWrap/>
            <w:vAlign w:val="center"/>
          </w:tcPr>
          <w:p w14:paraId="7A0E0D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noWrap/>
            <w:vAlign w:val="center"/>
          </w:tcPr>
          <w:p w14:paraId="7E6F1EC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全环保要素排查</w:t>
            </w:r>
          </w:p>
        </w:tc>
        <w:tc>
          <w:tcPr>
            <w:tcW w:w="6247" w:type="dxa"/>
            <w:noWrap/>
            <w:vAlign w:val="center"/>
          </w:tcPr>
          <w:p w14:paraId="50A3C1EC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1、企业环保合规性检查：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包括环评、环保设施“三同时”、排污许可证、排污申报登记制度执行情况、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突发环境应急预案编制和备案、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总量购买等；</w:t>
            </w:r>
          </w:p>
          <w:p w14:paraId="67327791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企业“三废”治理设施可达性、稳定性及经济性排查：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包括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企业环评及批复要求环保措施的落实情况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、“三废”治理设施的工艺优化及改造建议、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固废(重点关注危险废物)贮存场所及处置的规范性，及时发现问题提出整改方案并指导实施；</w:t>
            </w:r>
          </w:p>
          <w:p w14:paraId="189963A7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3、企业全方位的环境风险排查：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包括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跑、冒、滴、漏；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应急体系的建设、应急物资/设施落实情况等；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对公司从产品、原料、设备、工艺等方面，根据原环评审批内容排查、诊断批建不符的情况和存在的问题，提出整改意见；</w:t>
            </w:r>
          </w:p>
          <w:p w14:paraId="38CD529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对企业进行环保疑难问题会诊、环保最佳治理技术推荐等服务。</w:t>
            </w:r>
          </w:p>
          <w:p w14:paraId="52A9787D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5、法律、法规、标准、规范的合规性分析</w:t>
            </w:r>
          </w:p>
        </w:tc>
        <w:tc>
          <w:tcPr>
            <w:tcW w:w="1313" w:type="dxa"/>
            <w:noWrap/>
            <w:vAlign w:val="center"/>
          </w:tcPr>
          <w:p w14:paraId="0F3E15F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定期巡查服务，一事一议，一年不少于4次</w:t>
            </w:r>
          </w:p>
          <w:p w14:paraId="0695BB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出具环保检查报告、巡查记录单</w:t>
            </w:r>
          </w:p>
        </w:tc>
      </w:tr>
      <w:tr w14:paraId="62B8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2" w:type="dxa"/>
            <w:vMerge w:val="continue"/>
            <w:noWrap/>
            <w:vAlign w:val="center"/>
          </w:tcPr>
          <w:p w14:paraId="565E652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noWrap/>
            <w:vAlign w:val="center"/>
          </w:tcPr>
          <w:p w14:paraId="0EB45F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环境风险排查及应急演练</w:t>
            </w:r>
          </w:p>
        </w:tc>
        <w:tc>
          <w:tcPr>
            <w:tcW w:w="6247" w:type="dxa"/>
            <w:noWrap/>
            <w:vAlign w:val="center"/>
          </w:tcPr>
          <w:p w14:paraId="54DD1F7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定期协助企业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完成突发环境事件、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风险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隐患排查工作，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构建突发环境事件应急体系；</w:t>
            </w:r>
          </w:p>
          <w:p w14:paraId="4AA7DBAD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指导实施突发环境事件应急预案，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一年至少开展一次突发环境事件应急演练活动；</w:t>
            </w:r>
          </w:p>
          <w:p w14:paraId="1356FBAC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协助企业及时处理环保投诉、整改问题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；</w:t>
            </w:r>
          </w:p>
          <w:p w14:paraId="1EDB56D9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4、配备必要的设备、技术服务专家团队，在企业发生突发环境事件，收到环保投诉、环保处罚，接受环保督查等情况时，及时作出响应，提供专业建议。</w:t>
            </w:r>
          </w:p>
        </w:tc>
        <w:tc>
          <w:tcPr>
            <w:tcW w:w="1313" w:type="dxa"/>
            <w:noWrap/>
            <w:vAlign w:val="center"/>
          </w:tcPr>
          <w:p w14:paraId="436F35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应急演练和培训，一年至少一次</w:t>
            </w:r>
          </w:p>
        </w:tc>
      </w:tr>
      <w:tr w14:paraId="685C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2" w:type="dxa"/>
            <w:vMerge w:val="continue"/>
            <w:noWrap/>
            <w:vAlign w:val="center"/>
          </w:tcPr>
          <w:p w14:paraId="04A7AF5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noWrap/>
            <w:vAlign w:val="center"/>
          </w:tcPr>
          <w:p w14:paraId="3134D58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运行服务、设施</w:t>
            </w:r>
          </w:p>
          <w:p w14:paraId="4FFBF98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运行</w:t>
            </w:r>
          </w:p>
        </w:tc>
        <w:tc>
          <w:tcPr>
            <w:tcW w:w="6247" w:type="dxa"/>
            <w:noWrap/>
            <w:vAlign w:val="center"/>
          </w:tcPr>
          <w:p w14:paraId="305E6166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1、指导、帮助、协同企业筛选环境污染治理设施（设备技术）建设（供货）单位，协助企业收集完成编制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环境污染治理设施（设备技术）可行性方案资料和数据采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集，协调做好项目（改扩建）前期准备工作；</w:t>
            </w:r>
          </w:p>
          <w:p w14:paraId="4E139757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2、协同企业监督建设单位保质保量按时完成项目建设（改扩建）任务，并协助完成技改项目竣工验收；</w:t>
            </w:r>
          </w:p>
          <w:p w14:paraId="587DB54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3、协同企业建立、完善污染治理设施运行管理制度（结合企业自身管理特点，建立完善企业内部环境管理制度，并根据运行情况持续改进）；</w:t>
            </w:r>
          </w:p>
          <w:p w14:paraId="643EAC8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4、指导、帮助、协同企业依据企业污染治理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运行管理制度（运行维护手册）实施监管和日常巡视检查；</w:t>
            </w:r>
          </w:p>
          <w:p w14:paraId="4E0279A1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5、指导、帮助、协同企业对环保设施运行规范化监管（规范运行及记录规范化）；</w:t>
            </w:r>
          </w:p>
          <w:p w14:paraId="6907AB7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6、指导、帮助、协同企业应对环保部门督查及整改（迎接环保部门督查及后续问题点整改对策）；</w:t>
            </w:r>
          </w:p>
          <w:p w14:paraId="7EF34AE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7、及时发现并报告环境污染处理社会运行故障及存在问题，协助企业做好设施维护保养工作。</w:t>
            </w:r>
          </w:p>
        </w:tc>
        <w:tc>
          <w:tcPr>
            <w:tcW w:w="1313" w:type="dxa"/>
            <w:noWrap/>
            <w:vAlign w:val="center"/>
          </w:tcPr>
          <w:p w14:paraId="140E9AB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协助制定表单等</w:t>
            </w:r>
          </w:p>
        </w:tc>
      </w:tr>
    </w:tbl>
    <w:p w14:paraId="7985E62A">
      <w:pPr>
        <w:numPr>
          <w:ilvl w:val="0"/>
          <w:numId w:val="0"/>
        </w:numPr>
        <w:spacing w:line="560" w:lineRule="exact"/>
        <w:jc w:val="both"/>
        <w:rPr>
          <w:rFonts w:hint="eastAsia" w:ascii="方正小标宋_GBK" w:hAnsi="方正小标宋_GBK" w:eastAsia="方正小标宋_GBK" w:cs="方正小标宋_GBK"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bCs/>
          <w:sz w:val="24"/>
          <w:szCs w:val="24"/>
          <w:lang w:val="en-US" w:eastAsia="zh-CN"/>
        </w:rPr>
        <w:t>供应商提供的服务应当包含以上内容。</w:t>
      </w:r>
    </w:p>
    <w:p w14:paraId="1BB72A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77745"/>
    <w:rsid w:val="2C177745"/>
    <w:rsid w:val="45EA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4">
    <w:name w:val="样式5"/>
    <w:basedOn w:val="5"/>
    <w:qFormat/>
    <w:uiPriority w:val="0"/>
    <w:rPr>
      <w:rFonts w:eastAsia="Times New Roman"/>
      <w:sz w:val="30"/>
    </w:rPr>
  </w:style>
  <w:style w:type="paragraph" w:customStyle="1" w:styleId="5">
    <w:name w:val="font5"/>
    <w:basedOn w:val="1"/>
    <w:qFormat/>
    <w:uiPriority w:val="99"/>
    <w:pPr>
      <w:widowControl/>
      <w:spacing w:before="100" w:beforeAutospacing="1" w:after="100" w:afterAutospacing="1"/>
    </w:pPr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2026-02-10T02:35:00Z</dcterms:created>
  <dc:creator>向子游</dc:creator>
  <cp:lastModifiedBy>向子游</cp:lastModifiedBy>
  <dcterms:modified xsi:type="dcterms:W3CDTF">2026-02-10T02:35:45Z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C99558D92C6B4321AFAF56339078757A_13</vt:lpwstr>
  </property>
  <property fmtid="{D5CDD505-2E9C-101B-9397-08002B2CF9AE}" pid="4" name="KSOTemplateDocerSaveRecord">
    <vt:lpwstr>eyJoZGlkIjoiNGMwMmZjMGI5ZmVlNjViYjAxOTYwZGNlNjcwMTdlMGEiLCJ1c2VySWQiOiIxNzEzODgzNDc3In0=</vt:lpwstr>
  </property>
</Properties>
</file>